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Calibri"/>
          <w:b/>
          <w:bCs/>
          <w:i w:val="false"/>
          <w:iCs w:val="false"/>
          <w:sz w:val="22"/>
          <w:szCs w:val="22"/>
        </w:rPr>
        <w:t>Adresát (prodávající):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Internetový obchod: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www.wikishop.cz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Společnost: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Michal Kábrt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Se sídlem: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Svatojánská 133, Slatiňany 538 21, Česká Republika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IČ/DIČ: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10477501/CZ6207270069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E-mailová adresa: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  <w:shd w:fill="auto" w:val="clear"/>
        </w:rPr>
        <w:t>info@wikishop.cz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/>
          <w:bCs/>
          <w:i/>
          <w:iCs/>
          <w:sz w:val="20"/>
          <w:szCs w:val="20"/>
          <w:shd w:fill="auto" w:val="clear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+420 776 171 212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</w:t>
      </w:r>
      <w:r>
        <w:rPr>
          <w:rFonts w:cs="Calibri"/>
          <w:b/>
        </w:rPr>
        <w:t>atum obdržení: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Peněžní prostředky za objednání, případně i za doručení, byly zaslány způsobem…………………………..a budou navráceny zpět způsobem</w:t>
      </w:r>
      <w:r>
        <w:rPr>
          <w:rFonts w:cs="Calibri"/>
        </w:rPr>
        <w:t xml:space="preserve"> (v případě převodu na účet prosím o zaslání čísla účtu):………………………………………………</w:t>
      </w:r>
      <w:r>
        <w:rPr>
          <w:rFonts w:cs="Calibri"/>
          <w:b/>
        </w:rPr>
        <w:t>.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284" w:top="1528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F</w:t>
    </w: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  <w:tab/>
    </w:r>
    <w:hyperlink r:id="rId1">
      <w:r>
        <w:rPr>
          <w:rStyle w:val="InternetLink"/>
          <w:rFonts w:eastAsia="" w:cs="" w:ascii="Cambria" w:hAnsi="Cambria" w:asciiTheme="majorHAnsi" w:cstheme="majorBidi" w:eastAsiaTheme="majorEastAsia" w:hAnsiTheme="majorHAnsi"/>
          <w:b/>
          <w:i/>
          <w:iCs/>
          <w:color w:val="365F91"/>
          <w:sz w:val="26"/>
          <w:szCs w:val="26"/>
        </w:rPr>
        <w:t>www.wikishop.cz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Link">
    <w:name w:val="Internet 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wikishop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LibreOffice/5.4.2.2$MacOSX_X86_64 LibreOffice_project/22b09f6418e8c2d508a9eaf86b2399209b0990f4</Application>
  <Pages>1</Pages>
  <Words>144</Words>
  <Characters>931</Characters>
  <CharactersWithSpaces>1050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en-CA</dc:language>
  <cp:lastModifiedBy/>
  <cp:lastPrinted>2014-01-14T15:43:00Z</cp:lastPrinted>
  <dcterms:modified xsi:type="dcterms:W3CDTF">2018-12-04T09:28:41Z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